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9" w:rsidRPr="00F332E7" w:rsidRDefault="009051B9" w:rsidP="009051B9">
      <w:pPr>
        <w:widowControl/>
        <w:jc w:val="center"/>
        <w:outlineLvl w:val="0"/>
        <w:rPr>
          <w:rFonts w:ascii="微軟正黑體" w:eastAsia="微軟正黑體" w:hAnsi="微軟正黑體" w:cs="Times New Roman"/>
          <w:b/>
          <w:sz w:val="40"/>
          <w:szCs w:val="36"/>
        </w:rPr>
      </w:pPr>
      <w:bookmarkStart w:id="0" w:name="_Toc513641289"/>
      <w:bookmarkStart w:id="1" w:name="_GoBack"/>
      <w:r w:rsidRPr="00F332E7">
        <w:rPr>
          <w:rFonts w:ascii="微軟正黑體" w:eastAsia="微軟正黑體" w:hAnsi="微軟正黑體" w:cs="Times New Roman" w:hint="eastAsia"/>
          <w:b/>
          <w:sz w:val="40"/>
          <w:szCs w:val="36"/>
        </w:rPr>
        <w:t>國立中興大學研究單位</w:t>
      </w:r>
      <w:bookmarkEnd w:id="0"/>
      <w:r w:rsidRPr="00F332E7">
        <w:rPr>
          <w:rFonts w:ascii="微軟正黑體" w:eastAsia="微軟正黑體" w:hAnsi="微軟正黑體" w:cs="Times New Roman" w:hint="eastAsia"/>
          <w:b/>
          <w:sz w:val="40"/>
          <w:szCs w:val="36"/>
        </w:rPr>
        <w:t>實地訪評評分表</w:t>
      </w:r>
    </w:p>
    <w:bookmarkEnd w:id="1"/>
    <w:p w:rsidR="009051B9" w:rsidRPr="00F332E7" w:rsidRDefault="009051B9" w:rsidP="009051B9">
      <w:pPr>
        <w:widowControl/>
        <w:ind w:left="480" w:firstLine="480"/>
        <w:outlineLvl w:val="0"/>
        <w:rPr>
          <w:rFonts w:ascii="微軟正黑體" w:eastAsia="微軟正黑體" w:hAnsi="微軟正黑體" w:cs="Times New Roman"/>
          <w:b/>
          <w:sz w:val="36"/>
          <w:szCs w:val="36"/>
        </w:rPr>
      </w:pPr>
      <w:r w:rsidRPr="00F332E7">
        <w:rPr>
          <w:rFonts w:ascii="微軟正黑體" w:eastAsia="微軟正黑體" w:hAnsi="微軟正黑體" w:cs="Times New Roman" w:hint="eastAsia"/>
          <w:b/>
          <w:sz w:val="28"/>
          <w:szCs w:val="36"/>
        </w:rPr>
        <w:t>受評單位：</w:t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36"/>
          <w:szCs w:val="36"/>
        </w:rPr>
        <w:tab/>
      </w:r>
      <w:r w:rsidRPr="00F332E7">
        <w:rPr>
          <w:rFonts w:ascii="微軟正黑體" w:eastAsia="微軟正黑體" w:hAnsi="微軟正黑體" w:cs="Times New Roman" w:hint="eastAsia"/>
          <w:b/>
          <w:sz w:val="28"/>
          <w:szCs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4"/>
        <w:gridCol w:w="948"/>
        <w:gridCol w:w="1036"/>
        <w:gridCol w:w="393"/>
        <w:gridCol w:w="1984"/>
        <w:gridCol w:w="1985"/>
        <w:gridCol w:w="1595"/>
      </w:tblGrid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評鑑項目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權重範圍(%)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權重(%)</w:t>
            </w:r>
          </w:p>
        </w:tc>
        <w:tc>
          <w:tcPr>
            <w:tcW w:w="1595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評分</w:t>
            </w:r>
          </w:p>
        </w:tc>
      </w:tr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2" w:name="_Toc513640523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組織功能</w:t>
            </w:r>
            <w:bookmarkEnd w:id="2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3" w:name="_Toc513640524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15-25</w:t>
            </w:r>
            <w:bookmarkEnd w:id="3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4" w:name="_Toc513640525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學術整合</w:t>
            </w:r>
            <w:bookmarkEnd w:id="4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5" w:name="_Toc513640526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15-25</w:t>
            </w:r>
            <w:bookmarkEnd w:id="5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6" w:name="_Toc513640527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教學研究與服務推廣之績效</w:t>
            </w:r>
            <w:bookmarkEnd w:id="6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7" w:name="_Toc513640528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30-40</w:t>
            </w:r>
            <w:bookmarkEnd w:id="7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8" w:name="_Toc513640529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現金收入</w:t>
            </w:r>
            <w:bookmarkEnd w:id="8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9" w:name="_Toc513640530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10-15</w:t>
            </w:r>
            <w:bookmarkEnd w:id="9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953AE6">
        <w:trPr>
          <w:trHeight w:val="454"/>
          <w:jc w:val="center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051B9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10" w:name="_Toc513640531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其他</w:t>
            </w:r>
            <w:bookmarkEnd w:id="10"/>
          </w:p>
        </w:tc>
        <w:tc>
          <w:tcPr>
            <w:tcW w:w="1984" w:type="dxa"/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36"/>
              </w:rPr>
            </w:pPr>
            <w:bookmarkStart w:id="11" w:name="_Toc513640532"/>
            <w:r w:rsidRPr="00F332E7">
              <w:rPr>
                <w:rFonts w:ascii="微軟正黑體" w:eastAsia="微軟正黑體" w:hAnsi="微軟正黑體" w:cs="Times New Roman"/>
                <w:sz w:val="28"/>
                <w:szCs w:val="36"/>
              </w:rPr>
              <w:t>0-10</w:t>
            </w:r>
            <w:bookmarkEnd w:id="11"/>
          </w:p>
        </w:tc>
        <w:tc>
          <w:tcPr>
            <w:tcW w:w="1985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F332E7" w:rsidTr="00953AE6">
        <w:trPr>
          <w:jc w:val="center"/>
        </w:trPr>
        <w:tc>
          <w:tcPr>
            <w:tcW w:w="99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2" w:name="_Toc513640533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總評及建議</w:t>
            </w:r>
            <w:bookmarkEnd w:id="12"/>
          </w:p>
        </w:tc>
      </w:tr>
      <w:tr w:rsidR="009051B9" w:rsidRPr="009E14CA" w:rsidTr="009051B9">
        <w:trPr>
          <w:trHeight w:val="4972"/>
          <w:jc w:val="center"/>
        </w:trPr>
        <w:tc>
          <w:tcPr>
            <w:tcW w:w="99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1B9" w:rsidRPr="009E14CA" w:rsidRDefault="009051B9" w:rsidP="00953AE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9051B9" w:rsidRPr="009E14CA" w:rsidTr="00953AE6">
        <w:trPr>
          <w:trHeight w:val="5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3" w:name="_Toc513640534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總分</w:t>
            </w:r>
            <w:bookmarkEnd w:id="13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4" w:name="_Toc513640535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等級</w:t>
            </w:r>
            <w:bookmarkEnd w:id="14"/>
          </w:p>
        </w:tc>
        <w:tc>
          <w:tcPr>
            <w:tcW w:w="5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  <w:bookmarkStart w:id="15" w:name="_Toc513640536"/>
            <w:r w:rsidRPr="00F332E7"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  <w:t>評鑑委員共同簽名</w:t>
            </w:r>
            <w:bookmarkEnd w:id="15"/>
          </w:p>
        </w:tc>
      </w:tr>
      <w:tr w:rsidR="009051B9" w:rsidRPr="009E14CA" w:rsidTr="00953AE6">
        <w:trPr>
          <w:trHeight w:val="456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優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953AE6">
        <w:trPr>
          <w:trHeight w:val="576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953AE6">
        <w:trPr>
          <w:trHeight w:val="432"/>
          <w:jc w:val="center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待改進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953AE6">
        <w:trPr>
          <w:trHeight w:val="504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未通過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1B9" w:rsidRPr="00F332E7" w:rsidRDefault="009051B9" w:rsidP="00953AE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36"/>
              </w:rPr>
            </w:pPr>
          </w:p>
        </w:tc>
      </w:tr>
      <w:tr w:rsidR="009051B9" w:rsidRPr="009E14CA" w:rsidTr="00953AE6">
        <w:trPr>
          <w:trHeight w:val="2237"/>
          <w:jc w:val="center"/>
        </w:trPr>
        <w:tc>
          <w:tcPr>
            <w:tcW w:w="9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1B9" w:rsidRPr="00F332E7" w:rsidRDefault="009051B9" w:rsidP="00953AE6">
            <w:pPr>
              <w:ind w:left="540" w:hangingChars="270" w:hanging="5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註</w:t>
            </w:r>
            <w:proofErr w:type="gramEnd"/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：1.依據「國立中興大學研究單位設置暨評鑑辦法」第八條規定：評鑑工作項目，其百分比依單位層級，一級研究單位由研究發展會議議定，二級研究單位由院</w:t>
            </w:r>
            <w:proofErr w:type="gramStart"/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務</w:t>
            </w:r>
            <w:proofErr w:type="gramEnd"/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會議議定之。</w:t>
            </w:r>
          </w:p>
          <w:p w:rsidR="009051B9" w:rsidRPr="00F332E7" w:rsidRDefault="009051B9" w:rsidP="00953AE6">
            <w:pPr>
              <w:tabs>
                <w:tab w:val="left" w:pos="1134"/>
              </w:tabs>
              <w:ind w:leftChars="178" w:left="567" w:hangingChars="70" w:hanging="1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2.106學年度第2學期研究發展會議通過：一級研究單位評鑑項目之百分比如下：組織功能15%-25%、學術整合15%-25%、教學研究與服務推廣之績效30%-40%、現金收入10%-15%、其他0%-10%。</w:t>
            </w:r>
          </w:p>
          <w:p w:rsidR="009051B9" w:rsidRPr="00F332E7" w:rsidRDefault="009051B9" w:rsidP="00953AE6">
            <w:pPr>
              <w:tabs>
                <w:tab w:val="left" w:pos="1134"/>
              </w:tabs>
              <w:ind w:leftChars="178" w:left="567" w:hangingChars="70" w:hanging="1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332E7">
              <w:rPr>
                <w:rFonts w:ascii="微軟正黑體" w:eastAsia="微軟正黑體" w:hAnsi="微軟正黑體" w:cs="Times New Roman"/>
                <w:sz w:val="20"/>
                <w:szCs w:val="20"/>
              </w:rPr>
              <w:t>3.評鑑結果擬依評鑑分數分為四級：「優」90分(含)以上、「良」89-80分、「待改進」79-70分、「未通過」69分(含)以下。</w:t>
            </w:r>
          </w:p>
        </w:tc>
      </w:tr>
    </w:tbl>
    <w:p w:rsidR="00E81B12" w:rsidRPr="009051B9" w:rsidRDefault="009051B9"/>
    <w:sectPr w:rsidR="00E81B12" w:rsidRPr="009051B9" w:rsidSect="00905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9"/>
    <w:rsid w:val="007F3DF4"/>
    <w:rsid w:val="008653B2"/>
    <w:rsid w:val="0088072F"/>
    <w:rsid w:val="009051B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2019-05-29T02:47:00Z</dcterms:created>
  <dcterms:modified xsi:type="dcterms:W3CDTF">2019-05-29T02:48:00Z</dcterms:modified>
</cp:coreProperties>
</file>